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color w:val="0D2440"/>
          <w:spacing w:val="60"/>
          <w:sz w:val="28"/>
          <w:szCs w:val="28"/>
        </w:rPr>
        <w:t xml:space="preserve">MEDPRAXIS CFO</w:t>
      </w:r>
    </w:p>
    <w:p>
      <w:pPr>
        <w:spacing w:after="260"/>
      </w:pPr>
      <w:r>
        <w:rPr>
          <w:rFonts w:ascii="Calibri" w:cs="Calibri" w:eastAsia="Calibri" w:hAnsi="Calibri"/>
          <w:caps/>
          <w:color w:val="4C5D70"/>
          <w:spacing w:val="30"/>
          <w:sz w:val="16"/>
          <w:szCs w:val="16"/>
        </w:rPr>
        <w:t xml:space="preserve">Accounting and CFO advisory for practices</w:t>
      </w:r>
    </w:p>
    <w:p>
      <w:pPr>
        <w:spacing w:after="60" w:before="0"/>
      </w:pPr>
      <w:r>
        <w:rPr>
          <w:rFonts w:ascii="Georgia" w:cs="Georgia" w:eastAsia="Georgia" w:hAnsi="Georgia"/>
          <w:color w:val="0D2440"/>
          <w:sz w:val="44"/>
          <w:szCs w:val="44"/>
        </w:rPr>
        <w:t xml:space="preserve">New Client Intake Checklist</w:t>
      </w:r>
    </w:p>
    <w:p>
      <w:pPr>
        <w:pBdr>
          <w:bottom w:val="single" w:color="B8912F" w:sz="8"/>
        </w:pBdr>
        <w:spacing w:after="3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Optometry practices</w:t>
      </w:r>
    </w:p>
    <w:p>
      <w:pPr>
        <w:spacing w:after="26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An optometry practice runs a clinical business and a retail business under one roof, and the accounting decision that matters most is whether they are separated. The items below make that separation possible.</w:t>
      </w:r>
    </w:p>
    <w:p>
      <w:pPr>
        <w:spacing w:after="300"/>
      </w:pPr>
      <w:r>
        <w:rPr>
          <w:rFonts w:ascii="Calibri" w:cs="Calibri" w:eastAsia="Calibri" w:hAnsi="Calibri"/>
          <w:i/>
          <w:iCs/>
          <w:color w:val="4C5D70"/>
          <w:sz w:val="20"/>
          <w:szCs w:val="20"/>
        </w:rPr>
        <w:t xml:space="preserve">Send what you have. Nothing here is a prerequisite for starting — the list exists so we can tell you early what we are missing rather than three weeks in. Anything you cannot locate, say so and we will work around it.</w:t>
      </w:r>
    </w:p>
    <w:p>
      <w:pPr>
        <w:pBdr>
          <w:bottom w:val="single" w:color="DCE3EA" w:sz="4"/>
        </w:pBdr>
        <w:spacing w:after="2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Practice name</w:t>
      </w:r>
    </w:p>
    <w:p>
      <w:pPr>
        <w:pBdr>
          <w:bottom w:val="single" w:color="DCE3EA" w:sz="4"/>
        </w:pBdr>
        <w:spacing w:after="2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Primary contact and email</w:t>
      </w:r>
    </w:p>
    <w:p>
      <w:pPr>
        <w:pBdr>
          <w:bottom w:val="single" w:color="DCE3EA" w:sz="4"/>
        </w:pBdr>
        <w:spacing w:after="2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Date sent</w:t>
      </w:r>
    </w:p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1. Access and credentials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Accounting file — admin or accountant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QuickBooks Online, Desktop, or whatever you run. We work in your file, not a copy.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Bank accounts — read-only access, all accounts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Operating, savings, and any account the practice touches, including ones not currently in the books.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Credit cards used by the practice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Business and any personal card carrying practice expenses.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Merchant processor / payment portal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Deposits net of fees never tie to production without this.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Payroll provider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Provider compensation is the largest line we have to get right.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Practice management system — reporting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Read-only is fine. This is how we reconcile clinical activity to the money.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2. Entity, history, and prior filings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EIN letter (CP-575 or SS-4)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Confirms the filing entity before anything else is set up.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Formation documents and operating agreement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Ownership percentages drive distributions and eventual valuation.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S-corp election (Form 2553), if applicable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Determines how owner compensation must be structured.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Business tax returns — prior two years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Our starting point for normalized earnings.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Prior-year financial statements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Tells us what the last preparer did and where they departed from accrual.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Trial balance and general ledger — prior 24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 raw material for the cleanup.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Chart of accounts export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Usually the first thing we rebuild.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3. Banking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Bank statements — prior 12 months, all accounts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Reconciliation from a known-good starting point.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Credit card statements — prior 12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Where uncategorized and personal spend usually hides.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Most recent completed reconciliations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Tells us how far back the file is actually trustworthy.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4. Debt and leases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Loan agreements and amortization schedules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Principal is not an expense. Without the schedule your profit-to-cash bridge is guesswork.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Equipment financing agreements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Capital vs. operating treatment changes both the P&amp;L and the balance sheet.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Real estate lease or mortgage documents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Occupancy cost is a core overhead benchmark.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Owner loans to or from the practice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Frequently misrecorded as income or expense.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5. Fixed assets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Depreciation schedule from your tax preparer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So book and tax depreciation stop diverging silently.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Equipment list with purchase dates and cost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Feeds the schedule and the eventual valuation.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Leasehold improvement detail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Often expensed when it should be capitalized.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6. Payroll and compensation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Current payroll register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Baseline for provider and staff cost as a share of collections.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Employee roster with role and pay basis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Salary, hourly, production, or contractor — each behaves differently.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Owner compensation history — salary and distributions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 split determines what the practice actually earns without you.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Benefit and retirement plan documents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Real cost per employee, and a planning lever later.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7. Insurance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Professional liability / malpractice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Coverage and premium timing.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General liability, property, workers compensation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Standard overhead lines we benchmark.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Business overhead or interruption coverage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Relevant to the cash forecast.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8. Owner and related-party items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Personal expenses currently run through the business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We are not here to judge. We do need to identify them so earnings can be normalized.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Related-party arrangements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Building owned by you or a family member, family on payroll, management fees between entities.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9. Getting it to us securely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This part is not optional.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Use the secure link we send, not email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Everything here is either financial or protected health information. Email attachments are not an appropriate channel for it.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Business associate agreement signed before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We execute a BAA with every practice before we touch a system that contains patient or client records. Ask if you have not seen one.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Grant access rather than exporting where possible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Read-only access to your systems is safer than a file sitting in someone’s downloads folder, and it stays current.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Tell us who else has access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Prior bookkeepers, former staff, and old accountant logins should be reviewed and removed as part of onboarding.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10. Optometry specifics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This is the section a generalist intake leaves out.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5560"/>
        <w:gridCol w:w="4000"/>
      </w:tblGrid>
      <w:tr>
        <w:trPr>
          <w:tblHeader/>
        </w:trP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/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Item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Why we need it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Practice management / EHR access — RevolutionEHR, Crystal PM, OfficeMate, Compulink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Exam volume and optical sales have to reconcile to the accounting.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Exam revenue split: vision plan vs. medical — trailing 24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These reimburse very differently for the same chair time.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Vision plan contracts and fee schedules — VSP, EyeMed, Davis, Superior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What each plan actually pays after allowance.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Medical payer contracts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Medical optometry is the most common under-developed revenue stream in the vertical.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Optical inventory — most recent physical count by vendor and price band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Usually the largest working capital position in the practice.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Frame vendor purchase commitments and minimums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Obligations that constrain cash before you see them.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Contact lens direct-ship accounts and rebate programs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Revenue that bypasses your inventory but still needs reconciling.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Outstanding annual supply orders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Paid in full, shipped across the year. That is deferred revenue.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Optical capture rate — exams delivered vs. eyewear purchased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The single highest-leverage number in optometry.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Lab invoices — trailing 12 months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Matched against materials revenue for true optical margin.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Diagnostic equipment detail — OCT, visual field, fundus imaging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Capital assets with financing, not monthly expenses.</w:t>
            </w:r>
          </w:p>
        </w:tc>
      </w:tr>
      <w:tr>
        <w:tc>
          <w:tcPr>
            <w:tcW w:type="dxa" w:w="5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Segoe UI Symbol" w:cs="Segoe UI Symbol" w:eastAsia="Segoe UI Symbol" w:hAnsi="Segoe UI Symbol"/>
                <w:color w:val="B8912F"/>
                <w:sz w:val="22"/>
                <w:szCs w:val="22"/>
              </w:rPr>
              <w:t xml:space="preserve">❑</w:t>
            </w:r>
          </w:p>
        </w:tc>
        <w:tc>
          <w:tcPr>
            <w:tcW w:type="dxa" w:w="556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0D2440"/>
                <w:sz w:val="20"/>
                <w:szCs w:val="20"/>
              </w:rPr>
              <w:t xml:space="preserve">Lane count and schedule</w:t>
            </w:r>
          </w:p>
        </w:tc>
        <w:tc>
          <w:tcPr>
            <w:tcW w:type="dxa" w:w="40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70"/>
              <w:left w:type="dxa" w:w="70"/>
              <w:bottom w:type="dxa" w:w="70"/>
              <w:right w:type="dxa" w:w="70"/>
            </w:tcMar>
          </w:tcPr>
          <w:p>
            <w:r>
              <w:rPr>
                <w:rFonts w:ascii="Calibri" w:cs="Calibri" w:eastAsia="Calibri" w:hAnsi="Calibri"/>
                <w:color w:val="4C5D70"/>
                <w:sz w:val="18"/>
                <w:szCs w:val="18"/>
              </w:rPr>
              <w:t xml:space="preserve">Utilization against fixed clinical capacity.</w:t>
            </w:r>
          </w:p>
        </w:tc>
      </w:tr>
    </w:tbl>
    <w:p>
      <w:pPr>
        <w:spacing w:after="120" w:before="340"/>
      </w:pPr>
      <w:r>
        <w:rPr>
          <w:rFonts w:ascii="Georgia" w:cs="Georgia" w:eastAsia="Georgia" w:hAnsi="Georgia"/>
          <w:b w:val="false"/>
          <w:bCs w:val="false"/>
          <w:color w:val="0D2440"/>
          <w:sz w:val="26"/>
          <w:szCs w:val="26"/>
        </w:rPr>
        <w:t xml:space="preserve">What happens next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We review everything and come back with a written diagnostic — what is wrong with the file, what it will take to fix, and what it changes.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Cleanup runs 30 to 60 days for most practices. We tell you up front if yours will take longer.</w:t>
      </w:r>
    </w:p>
    <w:p>
      <w:pPr>
        <w:spacing w:after="1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From there, books close by the same date every month, and we get on a call and read them with you.</w:t>
      </w:r>
    </w:p>
    <w:p>
      <w:pPr>
        <w:pBdr>
          <w:top w:val="single" w:color="B8912F" w:sz="8"/>
        </w:pBdr>
        <w:spacing w:before="340"/>
      </w:pPr>
      <w:r>
        <w:rPr>
          <w:sz w:val="2"/>
          <w:szCs w:val="2"/>
        </w:rPr>
        <w:t xml:space="preserve"/>
      </w:r>
    </w:p>
    <w:p>
      <w:pPr>
        <w:spacing w:before="120"/>
        <w:jc w:val="center"/>
      </w:pPr>
      <w:r>
        <w:rPr>
          <w:rFonts w:ascii="Calibri" w:cs="Calibri" w:eastAsia="Calibri" w:hAnsi="Calibri"/>
          <w:color w:val="4C5D70"/>
          <w:sz w:val="17"/>
          <w:szCs w:val="17"/>
        </w:rPr>
        <w:t xml:space="preserve">MedPraxis CFO  ·  scotte@medpraxiscfo.com  ·  (202) 538-1348  ·  medpraxiscfo.com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D244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2026-08-03T14:54:11.314Z</dcterms:created>
  <dcterms:modified xsi:type="dcterms:W3CDTF">2026-08-03T14:54:11.314Z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