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Georgia" w:cs="Georgia" w:eastAsia="Georgia" w:hAnsi="Georgia"/>
          <w:color w:val="0D2440"/>
          <w:spacing w:val="60"/>
          <w:sz w:val="28"/>
          <w:szCs w:val="28"/>
        </w:rPr>
        <w:t xml:space="preserve">MEDPRAXIS CFO</w:t>
      </w:r>
    </w:p>
    <w:p>
      <w:pPr>
        <w:spacing w:after="260"/>
      </w:pPr>
      <w:r>
        <w:rPr>
          <w:rFonts w:ascii="Calibri" w:cs="Calibri" w:eastAsia="Calibri" w:hAnsi="Calibri"/>
          <w:caps/>
          <w:color w:val="4C5D70"/>
          <w:spacing w:val="30"/>
          <w:sz w:val="16"/>
          <w:szCs w:val="16"/>
        </w:rPr>
        <w:t xml:space="preserve">Accounting and CFO advisory for practices</w:t>
      </w:r>
    </w:p>
    <w:p>
      <w:pPr>
        <w:spacing w:after="60"/>
      </w:pPr>
      <w:r>
        <w:rPr>
          <w:rFonts w:ascii="Georgia" w:cs="Georgia" w:eastAsia="Georgia" w:hAnsi="Georgia"/>
          <w:color w:val="0D2440"/>
          <w:sz w:val="44"/>
          <w:szCs w:val="44"/>
        </w:rPr>
        <w:t xml:space="preserve">Monthly Performance Review</w:t>
      </w:r>
    </w:p>
    <w:p>
      <w:pPr>
        <w:pBdr>
          <w:bottom w:val="single" w:color="B8912F" w:sz="8"/>
        </w:pBdr>
        <w:spacing w:after="3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Mental Health practices</w:t>
      </w:r>
    </w:p>
    <w:p>
      <w:pPr>
        <w:spacing w:after="2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A group practice is a portfolio of clinicians with very different economics. Blended reporting hides which ones carry the practice, so almost everything here is measured per clinician.</w:t>
      </w:r>
    </w:p>
    <w:p>
      <w:pPr>
        <w:spacing w:after="280"/>
      </w:pPr>
      <w:r>
        <w:rPr>
          <w:rFonts w:ascii="Calibri" w:cs="Calibri" w:eastAsia="Calibri" w:hAnsi="Calibri"/>
          <w:i/>
          <w:iCs/>
          <w:color w:val="4C5D70"/>
          <w:sz w:val="20"/>
          <w:szCs w:val="20"/>
        </w:rPr>
        <w:t xml:space="preserve">Cadence is marked on every line — M monthly, Q quarterly, A annual. Not everything here is monthly. Sections 1 through 5 apply to every practice we work with. Section 6 is what makes this a mental health review rather than a generic one. Anything flagged twice in a row stops being a metric and becomes an agenda item.</w:t>
      </w:r>
    </w:p>
    <w:p>
      <w:pPr>
        <w:pBdr>
          <w:bottom w:val="single" w:color="DCE3EA" w:sz="4"/>
        </w:pBdr>
        <w:spacing w:after="6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Practice</w:t>
      </w:r>
    </w:p>
    <w:p>
      <w:pPr>
        <w:pBdr>
          <w:bottom w:val="single" w:color="DCE3EA" w:sz="4"/>
        </w:pBdr>
        <w:spacing w:after="24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Period reviewed                                             Reviewed by</w:t>
      </w:r>
    </w:p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1. Close integrity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Nothing below this line means anything if this section is not clean.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All accounts reconciled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Every bank, credit card, and merchant account, through period end.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account unreconciled, or a balance sitting in the reconciliation discrepancy account.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PM system ties to the books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Production and collections from the practice system agree to the ledger.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Unexplained variance above 1%.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Undeposited funds cleared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Should sit at or near zero once the month is closed.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balance that carries from month to month.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Uncategorized transactions at zero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Nothing parked in suspense or "ask my accountant".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balance at all.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Deferred revenue rolled forward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Balance moves only with new enrollments and delivered care.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Movement that no roster change explains.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Loan balances agree to lender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Principal and interest split correctly for the period.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Book balance differs from the statement.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Prior period locked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Closed months cannot be edited after the read.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Prior-period totals changed since last month.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2. Revenue and collections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Collections vs. production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Trailing 12 months, as a ratio, and by provider where possible.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Ratio declining two months running.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Net collection rate by payer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What each payer actually pays against your fee schedule.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payer moving more than a few points against its own history.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Days in A/R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How long revenue sits before it is cash you can use.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Rising for two consecutive months.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A/R over 90 days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As a share of total receivables.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Share growing while total A/R is flat or rising.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Refunds and adjustments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As a percentage of gross revenue, by category.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Discretionary discounting growing without a decision behind it.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3. Margin and cost structure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Overhead percentage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Total operating cost against collections, not production.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Two points above your own trailing average.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Staff payroll % of collections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Excluding providers. The largest overhead component.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Rising while collections are flat.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Provider compensation %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Against collections, and by provider.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provider whose comp share is rising without production rising.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Occupancy %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Rent, utilities, and CAM against collections.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Above benchmark and volume is not growing into the space.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Supplies %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Against collections, trailing 12.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Drift of more than a point without a price or mix explanation.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Marketing spend and cost per new patient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Judged against first-year value, never a single visit.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Cost per acquisition rising while new patient count is flat.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4. Cash and balance sheet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Operating cash, in months of expense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How long the practice runs if collections paused.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Below your agreed floor.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Cash less deferred revenue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What is genuinely yours to spend.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Gap narrowing while distributions continue.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Thirteen-week forecast updated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Rebuilt every month against actual collections and payables.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Forecast has not moved since last month.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Debt service coverage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Cash available against scheduled principal and interest.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Coverage below the level your lender requires.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Tax reserve adequacy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Set aside against year-to-date earnings, not last year.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Reserve behind the pace of profit.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Owner distributions vs. plan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Taken against what the practice actually earned.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Distributions exceeding earnings for two months.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5. Forward view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Trailing twelve-month earnings trend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Normalized, rolling. The number a lender or buyer would use.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Flat or declining across two quarters.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Capacity utilization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Chairs, lanes, rooms, hours actually used against available.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Falling while fixed cost is rising.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Decisions pending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Anything to model before it is committed: a hire, equipment, a lease, a location.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commitment was made without being modeled first.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6. Mental Health operating metrics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The section a generic monthly review does not have.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Contribution margin per clinician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Collected revenue against full loaded cost, including supervision.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clinician negative after full cost.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Utilization by clinician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Sessions delivered against sessions available.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Below your target range, or falling. The gap between 65% and 85% decides the practice.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No-show and late-cancel rate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Fixed clinician cost against no revenue.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Above your trailing average, or rising for one clinician specifically.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Revenue per session by payer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What each panel actually pays after adjustment.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payer consuming caseload at a rate you would not sign today.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Days to payment by payer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Determines whether payroll is comfortable or tight.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payer slowing by more than a week against its own history.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Credentialing pipeline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Clinicians hired but not yet billable, and what they have cost so far.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Cost accumulating with no approval date in sight.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Payer mix shift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Commercial, Medicaid, EAP, private pay, superbill.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Mix moving toward slower or lower-paying panels.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Clinician retention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Turnover is the most expensive event in this vertical.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unplanned departure, or a second in a quarter.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Caseload and waitlist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Demand against delivered capacity.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waitlist alongside clinicians under 70% utilization.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Prepaid and program deferred balance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Session packages, IOP and PHP enrollment collected ahead of delivery.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Balance rising faster than care is delivered.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A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Contractor vs. W2 cost and control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Reviewed against the actual working relationship, not the paperwork.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contractor whose schedule, rates, and protocols you set.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Denial rate by payer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Denials arrive weeks after the sessions were delivered.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Rising, or concentrated in one payer or one clinician.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The monthly review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What we actually walk through on the call, in this order: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What changed since last month, and why.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Where the practice is leaking, in dollars.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Which single number we are trying to move before next month.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What decision is pending, and what the model says about it.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Whether anything on this list has been flagged twice — those get escalated, not repeated.</w:t>
      </w:r>
    </w:p>
    <w:p>
      <w:pPr>
        <w:pBdr>
          <w:top w:val="single" w:color="B8912F" w:sz="8"/>
        </w:pBdr>
        <w:spacing w:before="320"/>
      </w:pPr>
      <w:r>
        <w:rPr>
          <w:sz w:val="2"/>
          <w:szCs w:val="2"/>
        </w:rPr>
        <w:t xml:space="preserve"/>
      </w:r>
    </w:p>
    <w:p>
      <w:pPr>
        <w:spacing w:before="120"/>
        <w:jc w:val="center"/>
      </w:pPr>
      <w:r>
        <w:rPr>
          <w:rFonts w:ascii="Calibri" w:cs="Calibri" w:eastAsia="Calibri" w:hAnsi="Calibri"/>
          <w:color w:val="4C5D70"/>
          <w:sz w:val="17"/>
          <w:szCs w:val="17"/>
        </w:rPr>
        <w:t xml:space="preserve">MedPraxis CFO  ·  scotte@medpraxiscfo.com  ·  (202) 538-1348  ·  medpraxiscfo.com</w:t>
      </w:r>
    </w:p>
    <w:sectPr>
      <w:pgSz w:w="15840" w:h="12240" w:orient="landscape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D244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2026-08-03T15:24:38.059Z</dcterms:created>
  <dcterms:modified xsi:type="dcterms:W3CDTF">2026-08-03T15:24:38.059Z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